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176"/>
        <w:tblBorders/>
      </w:tblPr>
      <w:tblGrid>
        <w:gridCol w:w="3690"/>
      </w:tblGrid>
      <w:tr>
        <w:trPr>
          <w:trHeight w:hRule="atLeast" w:val="80"/>
          <w:cantSplit w:val="false"/>
        </w:trPr>
        <w:tc>
          <w:tcPr>
            <w:tcW w:type="dxa" w:w="369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80"/>
          <w:cantSplit w:val="false"/>
        </w:trPr>
        <w:tc>
          <w:tcPr>
            <w:tcW w:type="dxa" w:w="36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bookmarkStart w:id="0" w:name="RANGE!A1:E15"/>
            <w:bookmarkEnd w:id="0"/>
            <w:r>
              <w:rPr/>
              <w:t xml:space="preserve">   </w:t>
            </w:r>
          </w:p>
        </w:tc>
        <w:tc>
          <w:tcPr>
            <w:tcW w:type="dxa" w:w="210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8192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Приложение №5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 решению Собрания  представителей сельского поселения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10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8192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Красная Поляна муниципального района Пестравский Самарской области№ 87 от  25.05.2022г «О внесении изменений  в решение</w:t>
            </w:r>
          </w:p>
          <w:p>
            <w:pPr>
              <w:sectPr>
                <w:type w:val="nextPage"/>
                <w:pgSz w:h="16838" w:w="11906"/>
                <w:pgMar w:bottom="1134" w:footer="0" w:gutter="0" w:header="0" w:left="1701" w:right="851" w:top="567"/>
                <w:pgNumType w:fmt="decimal"/>
                <w:formProt w:val="false"/>
                <w:titlePg/>
                <w:textDirection w:val="lrTb"/>
                <w:docGrid w:charSpace="8192" w:linePitch="299" w:type="default"/>
              </w:sect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Собрания представителей с.п. Красная Поляна м.района Пестравский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18"/>
                <w:szCs w:val="18"/>
              </w:rPr>
              <w:t>Самарской области  «О бюджете сельского поселения Красная Поляна муниципального района Пестравский Самарской области        на 2022  год»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6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ind w:hanging="0" w:left="0" w:right="0"/>
            </w:pPr>
            <w:r>
              <w:rPr/>
            </w:r>
          </w:p>
        </w:tc>
        <w:tc>
          <w:tcPr>
            <w:tcW w:type="dxa" w:w="2100"/>
            <w:gridSpan w:val="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1920"/>
          <w:cantSplit w:val="false"/>
        </w:trPr>
        <w:tc>
          <w:tcPr>
            <w:tcW w:type="dxa" w:w="3690"/>
            <w:gridSpan w:val="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 сельского поселения Красная Поляна муниципального района Пестравский Самарской области на 2022 год по целевым статьям (муниципальным программам сельского поселения Красная Поляна муниципального района Пестравский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69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1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20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945"/>
          <w:cantSplit w:val="false"/>
        </w:trPr>
        <w:tc>
          <w:tcPr>
            <w:tcW w:type="dxa" w:w="3690"/>
            <w:tcBorders>
              <w:top w:color="00000A" w:space="0" w:sz="4" w:val="single"/>
              <w:lef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type="dxa" w:w="2100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type="dxa" w:w="2055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type="dxa" w:w="1455"/>
            <w:tcBorders>
              <w:top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>
        <w:trPr>
          <w:trHeight w:hRule="atLeast" w:val="637"/>
          <w:cantSplit w:val="false"/>
        </w:trPr>
        <w:tc>
          <w:tcPr>
            <w:tcW w:type="dxa" w:w="36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"Комплексное развитие систем транспортной инфраструктуры сельского поселения Красная Поляна муниципального района Пестравский СО на 2018-2033гг»</w:t>
            </w:r>
          </w:p>
        </w:tc>
        <w:tc>
          <w:tcPr>
            <w:tcW w:type="dxa" w:w="21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220 00 0000 0</w:t>
            </w:r>
          </w:p>
        </w:tc>
        <w:tc>
          <w:tcPr>
            <w:tcW w:type="dxa" w:w="205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3 246,807</w:t>
            </w:r>
          </w:p>
        </w:tc>
      </w:tr>
      <w:tr>
        <w:trPr>
          <w:trHeight w:hRule="atLeast" w:val="842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   программа " Комплексное развитие систем транспортной инфраструктуры сельского поселения Красная Поляна муниципального района Пестравский СО на 2018-2033гг» в т.ч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3 246,807</w:t>
            </w:r>
          </w:p>
        </w:tc>
      </w:tr>
      <w:tr>
        <w:trPr>
          <w:trHeight w:hRule="atLeast" w:val="467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800,000</w:t>
            </w:r>
          </w:p>
        </w:tc>
      </w:tr>
      <w:tr>
        <w:trPr>
          <w:trHeight w:hRule="atLeast" w:val="533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220 00 0021 0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 по содержанию автомобильных дорог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2 446,807</w:t>
            </w:r>
          </w:p>
        </w:tc>
      </w:tr>
      <w:tr>
        <w:trPr>
          <w:trHeight w:hRule="atLeast" w:val="527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220  00 0022 0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2 446,807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   программа " Благоустройство населенного пункта сельского поселения Красная Поляна муниципального района Пестравский СО на 2020-2022гг» 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b/>
              </w:rPr>
              <w:t>1 758,652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Освещение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22100 0001 0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 xml:space="preserve">22100 00010 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221 00 0002 0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1 588,652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221 00 0002 0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1 588,652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Захоронение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221 00 0004 0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170,000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221 00 0004 0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170,000</w:t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22100 0005 0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4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5 005,459</w:t>
            </w:r>
          </w:p>
        </w:tc>
      </w:tr>
      <w:tr>
        <w:trPr>
          <w:trHeight w:hRule="atLeast" w:val="662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901 00 0000 0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772,160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772,160</w:t>
            </w:r>
          </w:p>
        </w:tc>
      </w:tr>
      <w:tr>
        <w:trPr>
          <w:trHeight w:hRule="atLeast" w:val="498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901 00 1100 0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772,160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мобилизационной и вневойсковой подготовки (осуществление первичного воинского учета, где  отсутствуют военные комиссариаты)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95,170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94,670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902 00  0000 0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2 736,380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 за счет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2 736,380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1 635,320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1 075,060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902 00 20010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26,000</w:t>
            </w:r>
          </w:p>
        </w:tc>
      </w:tr>
      <w:tr>
        <w:trPr>
          <w:trHeight w:hRule="atLeast" w:val="595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903 00 0000 0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903 00 7990 0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1,000</w:t>
            </w:r>
          </w:p>
        </w:tc>
      </w:tr>
      <w:tr>
        <w:trPr>
          <w:trHeight w:hRule="atLeast" w:val="824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904 00 0000 0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1 802,516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других общегосударственных вопросов, культуры за  счет   собственных средств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1 802,516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904 00 20010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1 802,516</w:t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905  00 0000 0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320,000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320,000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905 00 20020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320,000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908 00 0000 0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168,891</w:t>
            </w:r>
          </w:p>
        </w:tc>
      </w:tr>
      <w:tr>
        <w:trPr>
          <w:trHeight w:hRule="atLeast" w:val="1036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908 00 78210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168,891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908 00 78210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168,891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920 00 20140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7,620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920 00 20140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7,620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местного бюджета в области  физкультуры и спорта 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909 00 0000 0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в области физкультуры и спорта 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909 00 20030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hAnsi="Times New Roman"/>
              </w:rPr>
              <w:t>909 00 20030</w:t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tabs>
                <w:tab w:leader="none" w:pos="708" w:val="left"/>
              </w:tabs>
              <w:suppressAutoHyphens w:val="true"/>
              <w:spacing w:after="200" w:before="0" w:line="276" w:lineRule="auto"/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250,000</w:t>
            </w:r>
          </w:p>
        </w:tc>
      </w:tr>
      <w:tr>
        <w:trPr>
          <w:trHeight w:hRule="atLeast" w:val="131"/>
          <w:cantSplit w:val="false"/>
        </w:trPr>
        <w:tc>
          <w:tcPr>
            <w:tcW w:type="dxa" w:w="369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type="dxa" w:w="2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153,737</w:t>
            </w:r>
          </w:p>
        </w:tc>
      </w:tr>
      <w:tr>
        <w:trPr>
          <w:trHeight w:hRule="atLeast" w:val="150"/>
          <w:cantSplit w:val="false"/>
        </w:trPr>
        <w:tc>
          <w:tcPr>
            <w:tcW w:type="dxa" w:w="3690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type="dxa" w:w="21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0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145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11 159,196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701" w:right="851" w:top="567"/>
          <w:pgNumType w:fmt="decimal"/>
          <w:formProt w:val="false"/>
          <w:titlePg/>
          <w:textDirection w:val="lrTb"/>
          <w:docGrid w:charSpace="8192" w:linePitch="299" w:type="default"/>
        </w:sectPr>
        <w:pStyle w:val="style0"/>
      </w:pPr>
      <w:r>
        <w:rPr>
          <w:color w:val="000000"/>
          <w:sz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1" w:top="567"/>
      <w:pgNumType w:fmt="decimal"/>
      <w:formProt w:val="false"/>
      <w:textDirection w:val="lrTb"/>
      <w:docGrid w:charSpace="8192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2014-10-28T05:38:00.00Z</dcterms:created>
  <dc:creator>Марина П. Кадацкая</dc:creator>
  <cp:lastModifiedBy>Кадацкая Мария</cp:lastModifiedBy>
  <cp:lastPrinted>2022-05-25T14:25:49.87Z</cp:lastPrinted>
  <dcterms:modified xsi:type="dcterms:W3CDTF">2022-05-20T09:43:00.00Z</dcterms:modified>
  <cp:revision>122</cp:revision>
</cp:coreProperties>
</file>